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2160" w:firstLine="720"/>
        <w:rPr>
          <w:rFonts w:ascii="Times New Roman" w:hAnsi="Times New Roman" w:cs="Times New Roman"/>
          <w:sz w:val="24"/>
          <w:szCs w:val="24"/>
        </w:rPr>
      </w:pPr>
      <w:r>
        <w:rPr>
          <w:rFonts w:ascii="Times New Roman" w:hAnsi="Times New Roman" w:cs="Times New Roman"/>
          <w:sz w:val="24"/>
          <w:szCs w:val="24"/>
        </w:rPr>
        <w:t xml:space="preserve">    TDK Integrated Health, Inc.</w:t>
      </w:r>
    </w:p>
    <w:p>
      <w:pPr>
        <w:pStyle w:val="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C00000"/>
          <w:sz w:val="24"/>
          <w:szCs w:val="24"/>
        </w:rPr>
        <w:t>3261 Old Washington Road, Suite 2020</w:t>
      </w:r>
    </w:p>
    <w:p>
      <w:pPr>
        <w:pStyle w:val="10"/>
        <w:ind w:left="2880"/>
        <w:rPr>
          <w:rFonts w:ascii="Times New Roman" w:hAnsi="Times New Roman" w:cs="Times New Roman"/>
          <w:color w:val="C00000"/>
          <w:sz w:val="24"/>
          <w:szCs w:val="24"/>
        </w:rPr>
      </w:pPr>
      <w:r>
        <w:rPr>
          <w:rFonts w:ascii="Times New Roman" w:hAnsi="Times New Roman" w:cs="Times New Roman"/>
          <w:color w:val="C00000"/>
          <w:sz w:val="24"/>
          <w:szCs w:val="24"/>
        </w:rPr>
        <w:t xml:space="preserve">          Waldorf, MD 20602</w:t>
      </w:r>
      <w:bookmarkStart w:id="0" w:name="_GoBack"/>
      <w:bookmarkEnd w:id="0"/>
    </w:p>
    <w:p>
      <w:pPr>
        <w:pStyle w:val="10"/>
        <w:ind w:left="2880" w:firstLine="720"/>
        <w:rPr>
          <w:rFonts w:ascii="Times New Roman" w:hAnsi="Times New Roman" w:cs="Times New Roman"/>
          <w:color w:val="C00000"/>
          <w:sz w:val="24"/>
          <w:szCs w:val="24"/>
        </w:rPr>
      </w:pPr>
      <w:r>
        <w:rPr>
          <w:rFonts w:ascii="Times New Roman" w:hAnsi="Times New Roman" w:cs="Times New Roman"/>
          <w:color w:val="C00000"/>
          <w:sz w:val="24"/>
          <w:szCs w:val="24"/>
        </w:rPr>
        <w:t xml:space="preserve">   (301-615-3449)</w:t>
      </w:r>
    </w:p>
    <w:p>
      <w:pPr>
        <w:pStyle w:val="10"/>
        <w:jc w:val="center"/>
        <w:rPr>
          <w:rFonts w:ascii="Times New Roman" w:hAnsi="Times New Roman" w:cs="Times New Roman"/>
          <w:color w:val="FF0000"/>
          <w:sz w:val="24"/>
          <w:szCs w:val="24"/>
        </w:rPr>
      </w:pPr>
      <w:r>
        <w:rPr>
          <w:rFonts w:ascii="Times New Roman" w:hAnsi="Times New Roman" w:cs="Times New Roman"/>
          <w:color w:val="FF0000"/>
          <w:sz w:val="24"/>
          <w:szCs w:val="24"/>
        </w:rPr>
        <w:t>tdkintegratedhealth@gmail.com</w:t>
      </w:r>
    </w:p>
    <w:p>
      <w:pPr>
        <w:pStyle w:val="10"/>
        <w:ind w:left="2160"/>
        <w:rPr>
          <w:rFonts w:ascii="Times New Roman" w:hAnsi="Times New Roman" w:cs="Times New Roman"/>
          <w:sz w:val="24"/>
          <w:szCs w:val="24"/>
        </w:rPr>
      </w:pPr>
    </w:p>
    <w:p>
      <w:pPr>
        <w:spacing w:after="94"/>
        <w:ind w:left="2080" w:right="247" w:firstLine="80"/>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 xml:space="preserve"> Consent to Mental Health Services</w:t>
      </w:r>
    </w:p>
    <w:p>
      <w:pPr>
        <w:spacing w:after="203" w:line="226" w:lineRule="auto"/>
        <w:ind w:left="10" w:right="16" w:hanging="2"/>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Your signature on this form confirms your consent to mental health services to be rendered to you or a person for whom you are a legal representative or are a legal guardian (Power of Attorney). The details of such mental health services have been explained to you as well as the risks and benefits of treatment, of alternative treatments, and of no treatment at all. You also understand there is NO GUARANTEE that any particular result will be achieved.</w:t>
      </w:r>
    </w:p>
    <w:p>
      <w:pPr>
        <w:spacing w:after="232" w:line="247" w:lineRule="auto"/>
        <w:ind w:left="15" w:firstLine="5"/>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DO NOT SIGN THE FORM IF YOU HA VE ANY QUESTIONS THAT YOU THINK IMPORTANT TO YOUR DECISION AND CONSENT.</w:t>
      </w:r>
    </w:p>
    <w:p>
      <w:pPr>
        <w:spacing w:after="34" w:line="226" w:lineRule="auto"/>
        <w:ind w:left="17" w:right="16" w:hanging="2"/>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I understand and agree to mental health services that </w:t>
      </w:r>
      <w:r>
        <w:rPr>
          <w:rFonts w:ascii="Times New Roman" w:hAnsi="Times New Roman" w:cs="Times New Roman"/>
          <w:sz w:val="24"/>
          <w:szCs w:val="24"/>
        </w:rPr>
        <w:t xml:space="preserve">TDK Integrated Health, Inc. </w:t>
      </w:r>
      <w:r>
        <w:rPr>
          <w:rFonts w:ascii="Times New Roman" w:hAnsi="Times New Roman" w:eastAsia="Calibri" w:cs="Times New Roman"/>
          <w:color w:val="000000"/>
          <w:sz w:val="24"/>
          <w:szCs w:val="24"/>
        </w:rPr>
        <w:t>is qualified to provide within:</w:t>
      </w:r>
    </w:p>
    <w:p>
      <w:pPr>
        <w:numPr>
          <w:ilvl w:val="0"/>
          <w:numId w:val="1"/>
        </w:numPr>
        <w:spacing w:after="34" w:line="226" w:lineRule="auto"/>
        <w:ind w:right="16"/>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scope of the provider's license, certification, and training; or</w:t>
      </w:r>
    </w:p>
    <w:tbl>
      <w:tblPr>
        <w:tblStyle w:val="8"/>
        <w:tblpPr w:vertAnchor="page" w:horzAnchor="page" w:tblpX="1620" w:tblpY="14405"/>
        <w:tblOverlap w:val="never"/>
        <w:tblW w:w="9936" w:type="dxa"/>
        <w:tblInd w:w="0" w:type="dxa"/>
        <w:tblLayout w:type="autofit"/>
        <w:tblCellMar>
          <w:top w:w="108" w:type="dxa"/>
          <w:left w:w="143" w:type="dxa"/>
          <w:bottom w:w="0" w:type="dxa"/>
          <w:right w:w="174" w:type="dxa"/>
        </w:tblCellMar>
      </w:tblPr>
      <w:tblGrid>
        <w:gridCol w:w="9936"/>
      </w:tblGrid>
      <w:tr>
        <w:tblPrEx>
          <w:tblCellMar>
            <w:top w:w="108" w:type="dxa"/>
            <w:left w:w="143" w:type="dxa"/>
            <w:bottom w:w="0" w:type="dxa"/>
            <w:right w:w="174" w:type="dxa"/>
          </w:tblCellMar>
        </w:tblPrEx>
        <w:trPr>
          <w:trHeight w:val="1435" w:hRule="atLeast"/>
        </w:trPr>
        <w:tc>
          <w:tcPr>
            <w:tcW w:w="9936" w:type="dxa"/>
            <w:tcBorders>
              <w:top w:val="single" w:color="000000" w:sz="2" w:space="0"/>
              <w:left w:val="single" w:color="000000" w:sz="2" w:space="0"/>
              <w:bottom w:val="nil"/>
              <w:right w:val="single" w:color="000000" w:sz="2" w:space="0"/>
            </w:tcBorders>
          </w:tcPr>
          <w:p>
            <w:pPr>
              <w:spacing w:after="121" w:line="216" w:lineRule="auto"/>
              <w:ind w:left="8" w:firstLine="8"/>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For office use only: If the client does not sign this acknowledgment and consent form, record here the good faith efforts made to obtain this acknowledgment and consent or reason for lack of signature.</w:t>
            </w:r>
          </w:p>
          <w:p>
            <w:pPr>
              <w:spacing w:after="356"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drawing>
                <wp:inline distT="0" distB="0" distL="0" distR="0">
                  <wp:extent cx="5994400" cy="9525"/>
                  <wp:effectExtent l="0" t="0" r="0" b="0"/>
                  <wp:docPr id="79564" name="Picture 79564"/>
                  <wp:cNvGraphicFramePr/>
                  <a:graphic xmlns:a="http://schemas.openxmlformats.org/drawingml/2006/main">
                    <a:graphicData uri="http://schemas.openxmlformats.org/drawingml/2006/picture">
                      <pic:pic xmlns:pic="http://schemas.openxmlformats.org/drawingml/2006/picture">
                        <pic:nvPicPr>
                          <pic:cNvPr id="79564" name="Picture 79564"/>
                          <pic:cNvPicPr/>
                        </pic:nvPicPr>
                        <pic:blipFill>
                          <a:blip r:embed="rId9"/>
                          <a:stretch>
                            <a:fillRect/>
                          </a:stretch>
                        </pic:blipFill>
                        <pic:spPr>
                          <a:xfrm>
                            <a:off x="0" y="0"/>
                            <a:ext cx="5995010" cy="9823"/>
                          </a:xfrm>
                          <a:prstGeom prst="rect">
                            <a:avLst/>
                          </a:prstGeom>
                        </pic:spPr>
                      </pic:pic>
                    </a:graphicData>
                  </a:graphic>
                </wp:inline>
              </w:drawing>
            </w:r>
          </w:p>
          <w:p>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drawing>
                <wp:inline distT="0" distB="0" distL="0" distR="0">
                  <wp:extent cx="5994400" cy="9525"/>
                  <wp:effectExtent l="0" t="0" r="0" b="0"/>
                  <wp:docPr id="79565" name="Picture 79565"/>
                  <wp:cNvGraphicFramePr/>
                  <a:graphic xmlns:a="http://schemas.openxmlformats.org/drawingml/2006/main">
                    <a:graphicData uri="http://schemas.openxmlformats.org/drawingml/2006/picture">
                      <pic:pic xmlns:pic="http://schemas.openxmlformats.org/drawingml/2006/picture">
                        <pic:nvPicPr>
                          <pic:cNvPr id="79565" name="Picture 79565"/>
                          <pic:cNvPicPr/>
                        </pic:nvPicPr>
                        <pic:blipFill>
                          <a:blip r:embed="rId10"/>
                          <a:stretch>
                            <a:fillRect/>
                          </a:stretch>
                        </pic:blipFill>
                        <pic:spPr>
                          <a:xfrm>
                            <a:off x="0" y="0"/>
                            <a:ext cx="5995010" cy="9823"/>
                          </a:xfrm>
                          <a:prstGeom prst="rect">
                            <a:avLst/>
                          </a:prstGeom>
                        </pic:spPr>
                      </pic:pic>
                    </a:graphicData>
                  </a:graphic>
                </wp:inline>
              </w:drawing>
            </w:r>
          </w:p>
        </w:tc>
      </w:tr>
    </w:tbl>
    <w:p>
      <w:pPr>
        <w:numPr>
          <w:ilvl w:val="0"/>
          <w:numId w:val="1"/>
        </w:numPr>
        <w:spacing w:after="155" w:line="226" w:lineRule="auto"/>
        <w:ind w:right="16"/>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scope of the license, certification, and training of those mental health providers directly supervising the services I receive.</w:t>
      </w:r>
    </w:p>
    <w:p>
      <w:pPr>
        <w:spacing w:after="90" w:line="262" w:lineRule="auto"/>
        <w:ind w:left="25" w:right="433" w:hanging="10"/>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w:t>
      </w:r>
      <w:r>
        <w:rPr>
          <w:rFonts w:ascii="Times New Roman" w:hAnsi="Times New Roman" w:cs="Times New Roman"/>
          <w:sz w:val="24"/>
          <w:szCs w:val="24"/>
        </w:rPr>
        <w:t>TDK Integrated Health, Inc.</w:t>
      </w:r>
      <w:r>
        <w:rPr>
          <w:rFonts w:ascii="Times New Roman" w:hAnsi="Times New Roman" w:eastAsia="Calibri" w:cs="Times New Roman"/>
          <w:color w:val="000000"/>
          <w:sz w:val="24"/>
          <w:szCs w:val="24"/>
        </w:rPr>
        <w:t>} Client Handbook Receipt</w:t>
      </w:r>
    </w:p>
    <w:p>
      <w:pPr>
        <w:spacing w:after="331"/>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(Clie</w:t>
      </w:r>
      <w:r>
        <w:rPr>
          <w:rFonts w:ascii="Times New Roman" w:hAnsi="Times New Roman" w:eastAsia="Calibri" w:cs="Times New Roman"/>
          <w:color w:val="000000"/>
          <w:sz w:val="24"/>
          <w:szCs w:val="24"/>
          <w:u w:color="000000"/>
        </w:rPr>
        <w:t>nt n</w:t>
      </w:r>
      <w:r>
        <w:rPr>
          <w:rFonts w:ascii="Times New Roman" w:hAnsi="Times New Roman" w:eastAsia="Calibri" w:cs="Times New Roman"/>
          <w:color w:val="000000"/>
          <w:sz w:val="24"/>
          <w:szCs w:val="24"/>
        </w:rPr>
        <w:t xml:space="preserve">ame: </w:t>
      </w:r>
      <w:r>
        <w:rPr>
          <w:rFonts w:ascii="Times New Roman" w:hAnsi="Times New Roman" w:eastAsia="Calibri" w:cs="Times New Roman"/>
          <w:b/>
          <w:bCs/>
          <w:color w:val="000000"/>
          <w:sz w:val="24"/>
          <w:szCs w:val="24"/>
        </w:rPr>
        <w:t>_________________________________________</w:t>
      </w:r>
      <w:r>
        <w:rPr>
          <w:rFonts w:ascii="Times New Roman" w:hAnsi="Times New Roman" w:eastAsia="Calibri" w:cs="Times New Roman"/>
          <w:color w:val="000000"/>
          <w:sz w:val="24"/>
          <w:szCs w:val="24"/>
          <w:u w:color="000000"/>
        </w:rPr>
        <w:t>), ackno</w:t>
      </w:r>
      <w:r>
        <w:rPr>
          <w:rFonts w:ascii="Times New Roman" w:hAnsi="Times New Roman" w:eastAsia="Calibri" w:cs="Times New Roman"/>
          <w:color w:val="000000"/>
          <w:sz w:val="24"/>
          <w:szCs w:val="24"/>
        </w:rPr>
        <w:t>wledge that:</w:t>
      </w:r>
    </w:p>
    <w:p>
      <w:pPr>
        <w:numPr>
          <w:ilvl w:val="0"/>
          <w:numId w:val="2"/>
        </w:numPr>
        <w:spacing w:after="104" w:line="226" w:lineRule="auto"/>
        <w:ind w:right="12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I have had the Client's Rights and Grievance Procedure explained to me. </w:t>
      </w:r>
    </w:p>
    <w:p>
      <w:pPr>
        <w:numPr>
          <w:ilvl w:val="0"/>
          <w:numId w:val="2"/>
        </w:numPr>
        <w:spacing w:after="104" w:line="226" w:lineRule="auto"/>
        <w:ind w:right="12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A copy of these rights and procedures was printed out as my copy.</w:t>
      </w:r>
    </w:p>
    <w:p>
      <w:pPr>
        <w:numPr>
          <w:ilvl w:val="0"/>
          <w:numId w:val="2"/>
        </w:numPr>
        <w:spacing w:after="34" w:line="226" w:lineRule="auto"/>
        <w:ind w:right="12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I have been provided a copy of the Notice of Privacy Practices and have been notified of how my health information may be used and disclosed by </w:t>
      </w:r>
      <w:r>
        <w:rPr>
          <w:rFonts w:ascii="Times New Roman" w:hAnsi="Times New Roman" w:cs="Times New Roman"/>
          <w:sz w:val="24"/>
          <w:szCs w:val="24"/>
        </w:rPr>
        <w:t>TDK Integrated Health, Inc.</w:t>
      </w:r>
      <w:r>
        <w:rPr>
          <w:rFonts w:ascii="Times New Roman" w:hAnsi="Times New Roman" w:eastAsia="Calibri" w:cs="Times New Roman"/>
          <w:color w:val="000000"/>
          <w:sz w:val="24"/>
          <w:szCs w:val="24"/>
        </w:rPr>
        <w:t xml:space="preserve"> and how I may access and control this information.</w:t>
      </w:r>
    </w:p>
    <w:p>
      <w:pPr>
        <w:spacing w:after="34" w:line="226" w:lineRule="auto"/>
        <w:ind w:left="735" w:right="120"/>
        <w:jc w:val="both"/>
        <w:rPr>
          <w:rFonts w:ascii="Times New Roman" w:hAnsi="Times New Roman" w:eastAsia="Calibri" w:cs="Times New Roman"/>
          <w:color w:val="000000"/>
          <w:sz w:val="24"/>
          <w:szCs w:val="24"/>
        </w:rPr>
      </w:pPr>
    </w:p>
    <w:p>
      <w:pPr>
        <w:spacing w:after="153" w:line="226" w:lineRule="auto"/>
        <w:ind w:left="10" w:right="16" w:hanging="2"/>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By signing below, I also consent to use and/or disclosure my health information to treat me and arrange for my mental health care, to seek and receive payment for services given me, and for the business operations of </w:t>
      </w:r>
      <w:r>
        <w:rPr>
          <w:rFonts w:ascii="Times New Roman" w:hAnsi="Times New Roman" w:cs="Times New Roman"/>
          <w:sz w:val="24"/>
          <w:szCs w:val="24"/>
        </w:rPr>
        <w:t xml:space="preserve">TDK Integrated Health, Inc. </w:t>
      </w:r>
      <w:r>
        <w:rPr>
          <w:rFonts w:ascii="Times New Roman" w:hAnsi="Times New Roman" w:eastAsia="Calibri" w:cs="Times New Roman"/>
          <w:color w:val="000000"/>
          <w:sz w:val="24"/>
          <w:szCs w:val="24"/>
        </w:rPr>
        <w:t>and its staff.</w:t>
      </w:r>
    </w:p>
    <w:p>
      <w:pPr>
        <w:spacing w:after="0"/>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highlight w:val="yellow"/>
        </w:rPr>
        <w:drawing>
          <wp:inline distT="0" distB="0" distL="0" distR="0">
            <wp:extent cx="5233670" cy="34290"/>
            <wp:effectExtent l="0" t="0" r="0" b="0"/>
            <wp:docPr id="129912" name="Picture 129912"/>
            <wp:cNvGraphicFramePr/>
            <a:graphic xmlns:a="http://schemas.openxmlformats.org/drawingml/2006/main">
              <a:graphicData uri="http://schemas.openxmlformats.org/drawingml/2006/picture">
                <pic:pic xmlns:pic="http://schemas.openxmlformats.org/drawingml/2006/picture">
                  <pic:nvPicPr>
                    <pic:cNvPr id="129912" name="Picture 129912"/>
                    <pic:cNvPicPr/>
                  </pic:nvPicPr>
                  <pic:blipFill>
                    <a:blip r:embed="rId11"/>
                    <a:stretch>
                      <a:fillRect/>
                    </a:stretch>
                  </pic:blipFill>
                  <pic:spPr>
                    <a:xfrm>
                      <a:off x="0" y="0"/>
                      <a:ext cx="5233973" cy="34379"/>
                    </a:xfrm>
                    <a:prstGeom prst="rect">
                      <a:avLst/>
                    </a:prstGeom>
                  </pic:spPr>
                </pic:pic>
              </a:graphicData>
            </a:graphic>
          </wp:inline>
        </w:drawing>
      </w:r>
    </w:p>
    <w:p>
      <w:pPr>
        <w:rPr>
          <w:rFonts w:ascii="Times New Roman" w:hAnsi="Times New Roman" w:eastAsia="Calibri" w:cs="Times New Roman"/>
          <w:color w:val="000000"/>
          <w:sz w:val="24"/>
          <w:szCs w:val="24"/>
        </w:rPr>
        <w:sectPr>
          <w:headerReference r:id="rId7" w:type="first"/>
          <w:headerReference r:id="rId5" w:type="default"/>
          <w:headerReference r:id="rId6" w:type="even"/>
          <w:pgSz w:w="12240" w:h="15840"/>
          <w:pgMar w:top="487" w:right="1299" w:bottom="0" w:left="1794" w:header="720" w:footer="720" w:gutter="0"/>
          <w:cols w:space="720" w:num="1"/>
        </w:sectPr>
      </w:pPr>
    </w:p>
    <w:tbl>
      <w:tblPr>
        <w:tblStyle w:val="8"/>
        <w:tblW w:w="6936" w:type="dxa"/>
        <w:tblInd w:w="8" w:type="dxa"/>
        <w:tblLayout w:type="autofit"/>
        <w:tblCellMar>
          <w:top w:w="0" w:type="dxa"/>
          <w:left w:w="0" w:type="dxa"/>
          <w:bottom w:w="0" w:type="dxa"/>
          <w:right w:w="0" w:type="dxa"/>
        </w:tblCellMar>
      </w:tblPr>
      <w:tblGrid>
        <w:gridCol w:w="6312"/>
        <w:gridCol w:w="624"/>
      </w:tblGrid>
      <w:tr>
        <w:tblPrEx>
          <w:tblCellMar>
            <w:top w:w="0" w:type="dxa"/>
            <w:left w:w="0" w:type="dxa"/>
            <w:bottom w:w="0" w:type="dxa"/>
            <w:right w:w="0" w:type="dxa"/>
          </w:tblCellMar>
        </w:tblPrEx>
        <w:trPr>
          <w:trHeight w:val="201" w:hRule="atLeast"/>
        </w:trPr>
        <w:tc>
          <w:tcPr>
            <w:tcW w:w="6317" w:type="dxa"/>
            <w:tcBorders>
              <w:top w:val="nil"/>
              <w:left w:val="nil"/>
              <w:bottom w:val="nil"/>
              <w:right w:val="nil"/>
            </w:tcBorders>
          </w:tcPr>
          <w:p>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Sign</w:t>
            </w:r>
            <w:r>
              <w:rPr>
                <w:rFonts w:ascii="Times New Roman" w:hAnsi="Times New Roman" w:eastAsia="Calibri" w:cs="Times New Roman"/>
                <w:color w:val="000000"/>
                <w:sz w:val="24"/>
                <w:szCs w:val="24"/>
                <w:u w:val="single" w:color="000000"/>
              </w:rPr>
              <w:t>ature of Client POA/G</w:t>
            </w:r>
            <w:r>
              <w:rPr>
                <w:rFonts w:ascii="Times New Roman" w:hAnsi="Times New Roman" w:eastAsia="Calibri" w:cs="Times New Roman"/>
                <w:color w:val="000000"/>
                <w:sz w:val="24"/>
                <w:szCs w:val="24"/>
              </w:rPr>
              <w:t>uardian (if applicable)</w:t>
            </w:r>
          </w:p>
        </w:tc>
        <w:tc>
          <w:tcPr>
            <w:tcW w:w="619" w:type="dxa"/>
            <w:tcBorders>
              <w:top w:val="nil"/>
              <w:left w:val="nil"/>
              <w:bottom w:val="nil"/>
              <w:right w:val="nil"/>
            </w:tcBorders>
          </w:tcPr>
          <w:p>
            <w:pPr>
              <w:spacing w:after="0" w:line="240" w:lineRule="auto"/>
              <w:ind w:left="170"/>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Date</w:t>
            </w:r>
          </w:p>
        </w:tc>
      </w:tr>
    </w:tbl>
    <w:p>
      <w:pPr>
        <w:spacing w:after="31"/>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drawing>
          <wp:inline distT="0" distB="0" distL="0" distR="0">
            <wp:extent cx="3343275" cy="156845"/>
            <wp:effectExtent l="0" t="0" r="0" b="0"/>
            <wp:docPr id="79603" name="Picture 79603"/>
            <wp:cNvGraphicFramePr/>
            <a:graphic xmlns:a="http://schemas.openxmlformats.org/drawingml/2006/main">
              <a:graphicData uri="http://schemas.openxmlformats.org/drawingml/2006/picture">
                <pic:pic xmlns:pic="http://schemas.openxmlformats.org/drawingml/2006/picture">
                  <pic:nvPicPr>
                    <pic:cNvPr id="79603" name="Picture 79603"/>
                    <pic:cNvPicPr/>
                  </pic:nvPicPr>
                  <pic:blipFill>
                    <a:blip r:embed="rId12"/>
                    <a:stretch>
                      <a:fillRect/>
                    </a:stretch>
                  </pic:blipFill>
                  <pic:spPr>
                    <a:xfrm>
                      <a:off x="0" y="0"/>
                      <a:ext cx="3343654" cy="157163"/>
                    </a:xfrm>
                    <a:prstGeom prst="rect">
                      <a:avLst/>
                    </a:prstGeom>
                  </pic:spPr>
                </pic:pic>
              </a:graphicData>
            </a:graphic>
          </wp:inline>
        </w:drawing>
      </w:r>
    </w:p>
    <w:p>
      <w:pPr>
        <w:spacing w:after="192" w:line="247" w:lineRule="auto"/>
        <w:ind w:left="25" w:right="85" w:hanging="2"/>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Relationship to Client if POA</w:t>
      </w:r>
    </w:p>
    <w:p>
      <w:pPr>
        <w:spacing w:after="19"/>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drawing>
          <wp:inline distT="0" distB="0" distL="0" distR="0">
            <wp:extent cx="5233670" cy="29210"/>
            <wp:effectExtent l="0" t="0" r="0" b="0"/>
            <wp:docPr id="129914" name="Picture 129914"/>
            <wp:cNvGraphicFramePr/>
            <a:graphic xmlns:a="http://schemas.openxmlformats.org/drawingml/2006/main">
              <a:graphicData uri="http://schemas.openxmlformats.org/drawingml/2006/picture">
                <pic:pic xmlns:pic="http://schemas.openxmlformats.org/drawingml/2006/picture">
                  <pic:nvPicPr>
                    <pic:cNvPr id="129914" name="Picture 129914"/>
                    <pic:cNvPicPr/>
                  </pic:nvPicPr>
                  <pic:blipFill>
                    <a:blip r:embed="rId13"/>
                    <a:stretch>
                      <a:fillRect/>
                    </a:stretch>
                  </pic:blipFill>
                  <pic:spPr>
                    <a:xfrm>
                      <a:off x="0" y="0"/>
                      <a:ext cx="5233973" cy="29468"/>
                    </a:xfrm>
                    <a:prstGeom prst="rect">
                      <a:avLst/>
                    </a:prstGeom>
                  </pic:spPr>
                </pic:pic>
              </a:graphicData>
            </a:graphic>
          </wp:inline>
        </w:drawing>
      </w:r>
    </w:p>
    <w:p>
      <w:pPr>
        <w:tabs>
          <w:tab w:val="center" w:pos="6723"/>
        </w:tabs>
        <w:spacing w:after="15" w:line="247"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Signature of </w:t>
      </w:r>
      <w:r>
        <w:rPr>
          <w:rFonts w:ascii="Times New Roman" w:hAnsi="Times New Roman" w:cs="Times New Roman"/>
          <w:sz w:val="24"/>
          <w:szCs w:val="24"/>
        </w:rPr>
        <w:t>TDK Integrated Health, Inc.</w:t>
      </w:r>
      <w:r>
        <w:rPr>
          <w:rFonts w:ascii="Times New Roman" w:hAnsi="Times New Roman" w:eastAsia="Calibri" w:cs="Times New Roman"/>
          <w:color w:val="000000"/>
          <w:sz w:val="24"/>
          <w:szCs w:val="24"/>
        </w:rPr>
        <w:t>Clinical Staff</w:t>
      </w:r>
      <w:r>
        <w:rPr>
          <w:rFonts w:ascii="Times New Roman" w:hAnsi="Times New Roman" w:eastAsia="Calibri" w:cs="Times New Roman"/>
          <w:color w:val="000000"/>
          <w:sz w:val="24"/>
          <w:szCs w:val="24"/>
        </w:rPr>
        <w:tab/>
      </w:r>
      <w:r>
        <w:rPr>
          <w:rFonts w:ascii="Times New Roman" w:hAnsi="Times New Roman" w:eastAsia="Calibri" w:cs="Times New Roman"/>
          <w:color w:val="000000"/>
          <w:sz w:val="24"/>
          <w:szCs w:val="24"/>
          <w:u w:val="single" w:color="000000"/>
        </w:rPr>
        <w:t>Date</w:t>
      </w:r>
    </w:p>
    <w:p>
      <w:pPr>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drawing>
        <wp:inline distT="0" distB="0" distL="0" distR="0">
          <wp:extent cx="1786255" cy="1210310"/>
          <wp:effectExtent l="0" t="0" r="4445" b="8890"/>
          <wp:docPr id="7" name="Picture 7" descr="D:\NS IT\February\17\TDK Integrated Health, Inc\others\main-logo.png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NS IT\February\17\TDK Integrated Health, Inc\others\main-logo.pngmain-logo"/>
                  <pic:cNvPicPr>
                    <a:picLocks noChangeAspect="1" noChangeArrowheads="1"/>
                  </pic:cNvPicPr>
                </pic:nvPicPr>
                <pic:blipFill>
                  <a:blip r:embed="rId1"/>
                  <a:srcRect/>
                  <a:stretch>
                    <a:fillRect/>
                  </a:stretch>
                </pic:blipFill>
                <pic:spPr>
                  <a:xfrm>
                    <a:off x="0" y="0"/>
                    <a:ext cx="1786255" cy="12103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20"/>
    </w:pPr>
    <w:r>
      <w:t xml:space="preserve">                                             </w:t>
    </w:r>
    <w:r>
      <w:drawing>
        <wp:inline distT="0" distB="0" distL="0" distR="0">
          <wp:extent cx="1263650" cy="1263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63650" cy="12636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366" w:lineRule="auto"/>
      <w:ind w:left="3765" w:right="4673" w:hanging="247"/>
    </w:pPr>
    <w:r>
      <w:rPr>
        <w:rFonts w:ascii="Times New Roman" w:hAnsi="Times New Roman" w:eastAsia="Times New Roman" w:cs="Times New Roman"/>
        <w:sz w:val="18"/>
      </w:rPr>
      <w:t xml:space="preserve">Teach </w:t>
    </w:r>
    <w:r>
      <w:rPr>
        <w:rFonts w:ascii="Times New Roman" w:hAnsi="Times New Roman" w:eastAsia="Times New Roman" w:cs="Times New Roman"/>
        <w:sz w:val="14"/>
      </w:rPr>
      <w:t>pantneh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233DA"/>
    <w:multiLevelType w:val="multilevel"/>
    <w:tmpl w:val="303233DA"/>
    <w:lvl w:ilvl="0" w:tentative="0">
      <w:start w:val="1"/>
      <w:numFmt w:val="decimal"/>
      <w:lvlText w:val="%1."/>
      <w:lvlJc w:val="left"/>
      <w:pPr>
        <w:ind w:left="720"/>
      </w:pPr>
      <w:rPr>
        <w:rFonts w:ascii="Calibri" w:hAnsi="Calibri" w:eastAsia="Calibri" w:cs="Calibri"/>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51"/>
      </w:pPr>
      <w:rPr>
        <w:rFonts w:ascii="Calibri" w:hAnsi="Calibri" w:eastAsia="Calibri" w:cs="Calibri"/>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71"/>
      </w:pPr>
      <w:rPr>
        <w:rFonts w:ascii="Calibri" w:hAnsi="Calibri" w:eastAsia="Calibri" w:cs="Calibri"/>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91"/>
      </w:pPr>
      <w:rPr>
        <w:rFonts w:ascii="Calibri" w:hAnsi="Calibri" w:eastAsia="Calibri" w:cs="Calibri"/>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11"/>
      </w:pPr>
      <w:rPr>
        <w:rFonts w:ascii="Calibri" w:hAnsi="Calibri" w:eastAsia="Calibri" w:cs="Calibri"/>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31"/>
      </w:pPr>
      <w:rPr>
        <w:rFonts w:ascii="Calibri" w:hAnsi="Calibri" w:eastAsia="Calibri" w:cs="Calibri"/>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51"/>
      </w:pPr>
      <w:rPr>
        <w:rFonts w:ascii="Calibri" w:hAnsi="Calibri" w:eastAsia="Calibri" w:cs="Calibri"/>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71"/>
      </w:pPr>
      <w:rPr>
        <w:rFonts w:ascii="Calibri" w:hAnsi="Calibri" w:eastAsia="Calibri" w:cs="Calibri"/>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91"/>
      </w:pPr>
      <w:rPr>
        <w:rFonts w:ascii="Calibri" w:hAnsi="Calibri" w:eastAsia="Calibri" w:cs="Calibri"/>
        <w:b w:val="0"/>
        <w:i w:val="0"/>
        <w:strike w:val="0"/>
        <w:dstrike w:val="0"/>
        <w:color w:val="000000"/>
        <w:sz w:val="24"/>
        <w:szCs w:val="24"/>
        <w:u w:val="none" w:color="000000"/>
        <w:shd w:val="clear" w:color="auto" w:fill="auto"/>
        <w:vertAlign w:val="baseline"/>
      </w:rPr>
    </w:lvl>
  </w:abstractNum>
  <w:abstractNum w:abstractNumId="1">
    <w:nsid w:val="6CFF338D"/>
    <w:multiLevelType w:val="multilevel"/>
    <w:tmpl w:val="6CFF338D"/>
    <w:lvl w:ilvl="0" w:tentative="0">
      <w:start w:val="1"/>
      <w:numFmt w:val="bullet"/>
      <w:lvlText w:val="•"/>
      <w:lvlJc w:val="left"/>
      <w:pPr>
        <w:ind w:left="735"/>
      </w:pPr>
      <w:rPr>
        <w:rFonts w:ascii="Calibri" w:hAnsi="Calibri" w:eastAsia="Calibri" w:cs="Calibri"/>
        <w:b w:val="0"/>
        <w:i w:val="0"/>
        <w:strike w:val="0"/>
        <w:dstrike w:val="0"/>
        <w:color w:val="000000"/>
        <w:sz w:val="34"/>
        <w:szCs w:val="34"/>
        <w:u w:val="none" w:color="000000"/>
        <w:shd w:val="clear" w:color="auto" w:fill="auto"/>
        <w:vertAlign w:val="baseline"/>
      </w:rPr>
    </w:lvl>
    <w:lvl w:ilvl="1" w:tentative="0">
      <w:start w:val="1"/>
      <w:numFmt w:val="bullet"/>
      <w:lvlText w:val="o"/>
      <w:lvlJc w:val="left"/>
      <w:pPr>
        <w:ind w:left="1443"/>
      </w:pPr>
      <w:rPr>
        <w:rFonts w:ascii="Calibri" w:hAnsi="Calibri" w:eastAsia="Calibri" w:cs="Calibri"/>
        <w:b w:val="0"/>
        <w:i w:val="0"/>
        <w:strike w:val="0"/>
        <w:dstrike w:val="0"/>
        <w:color w:val="000000"/>
        <w:sz w:val="34"/>
        <w:szCs w:val="34"/>
        <w:u w:val="none" w:color="000000"/>
        <w:shd w:val="clear" w:color="auto" w:fill="auto"/>
        <w:vertAlign w:val="baseline"/>
      </w:rPr>
    </w:lvl>
    <w:lvl w:ilvl="2" w:tentative="0">
      <w:start w:val="1"/>
      <w:numFmt w:val="bullet"/>
      <w:lvlText w:val="▪"/>
      <w:lvlJc w:val="left"/>
      <w:pPr>
        <w:ind w:left="2163"/>
      </w:pPr>
      <w:rPr>
        <w:rFonts w:ascii="Calibri" w:hAnsi="Calibri" w:eastAsia="Calibri" w:cs="Calibri"/>
        <w:b w:val="0"/>
        <w:i w:val="0"/>
        <w:strike w:val="0"/>
        <w:dstrike w:val="0"/>
        <w:color w:val="000000"/>
        <w:sz w:val="34"/>
        <w:szCs w:val="34"/>
        <w:u w:val="none" w:color="000000"/>
        <w:shd w:val="clear" w:color="auto" w:fill="auto"/>
        <w:vertAlign w:val="baseline"/>
      </w:rPr>
    </w:lvl>
    <w:lvl w:ilvl="3" w:tentative="0">
      <w:start w:val="1"/>
      <w:numFmt w:val="bullet"/>
      <w:lvlText w:val="•"/>
      <w:lvlJc w:val="left"/>
      <w:pPr>
        <w:ind w:left="2883"/>
      </w:pPr>
      <w:rPr>
        <w:rFonts w:ascii="Calibri" w:hAnsi="Calibri" w:eastAsia="Calibri" w:cs="Calibri"/>
        <w:b w:val="0"/>
        <w:i w:val="0"/>
        <w:strike w:val="0"/>
        <w:dstrike w:val="0"/>
        <w:color w:val="000000"/>
        <w:sz w:val="34"/>
        <w:szCs w:val="34"/>
        <w:u w:val="none" w:color="000000"/>
        <w:shd w:val="clear" w:color="auto" w:fill="auto"/>
        <w:vertAlign w:val="baseline"/>
      </w:rPr>
    </w:lvl>
    <w:lvl w:ilvl="4" w:tentative="0">
      <w:start w:val="1"/>
      <w:numFmt w:val="bullet"/>
      <w:lvlText w:val="o"/>
      <w:lvlJc w:val="left"/>
      <w:pPr>
        <w:ind w:left="3603"/>
      </w:pPr>
      <w:rPr>
        <w:rFonts w:ascii="Calibri" w:hAnsi="Calibri" w:eastAsia="Calibri" w:cs="Calibri"/>
        <w:b w:val="0"/>
        <w:i w:val="0"/>
        <w:strike w:val="0"/>
        <w:dstrike w:val="0"/>
        <w:color w:val="000000"/>
        <w:sz w:val="34"/>
        <w:szCs w:val="34"/>
        <w:u w:val="none" w:color="000000"/>
        <w:shd w:val="clear" w:color="auto" w:fill="auto"/>
        <w:vertAlign w:val="baseline"/>
      </w:rPr>
    </w:lvl>
    <w:lvl w:ilvl="5" w:tentative="0">
      <w:start w:val="1"/>
      <w:numFmt w:val="bullet"/>
      <w:lvlText w:val="▪"/>
      <w:lvlJc w:val="left"/>
      <w:pPr>
        <w:ind w:left="4323"/>
      </w:pPr>
      <w:rPr>
        <w:rFonts w:ascii="Calibri" w:hAnsi="Calibri" w:eastAsia="Calibri" w:cs="Calibri"/>
        <w:b w:val="0"/>
        <w:i w:val="0"/>
        <w:strike w:val="0"/>
        <w:dstrike w:val="0"/>
        <w:color w:val="000000"/>
        <w:sz w:val="34"/>
        <w:szCs w:val="34"/>
        <w:u w:val="none" w:color="000000"/>
        <w:shd w:val="clear" w:color="auto" w:fill="auto"/>
        <w:vertAlign w:val="baseline"/>
      </w:rPr>
    </w:lvl>
    <w:lvl w:ilvl="6" w:tentative="0">
      <w:start w:val="1"/>
      <w:numFmt w:val="bullet"/>
      <w:lvlText w:val="•"/>
      <w:lvlJc w:val="left"/>
      <w:pPr>
        <w:ind w:left="5043"/>
      </w:pPr>
      <w:rPr>
        <w:rFonts w:ascii="Calibri" w:hAnsi="Calibri" w:eastAsia="Calibri" w:cs="Calibri"/>
        <w:b w:val="0"/>
        <w:i w:val="0"/>
        <w:strike w:val="0"/>
        <w:dstrike w:val="0"/>
        <w:color w:val="000000"/>
        <w:sz w:val="34"/>
        <w:szCs w:val="34"/>
        <w:u w:val="none" w:color="000000"/>
        <w:shd w:val="clear" w:color="auto" w:fill="auto"/>
        <w:vertAlign w:val="baseline"/>
      </w:rPr>
    </w:lvl>
    <w:lvl w:ilvl="7" w:tentative="0">
      <w:start w:val="1"/>
      <w:numFmt w:val="bullet"/>
      <w:lvlText w:val="o"/>
      <w:lvlJc w:val="left"/>
      <w:pPr>
        <w:ind w:left="5763"/>
      </w:pPr>
      <w:rPr>
        <w:rFonts w:ascii="Calibri" w:hAnsi="Calibri" w:eastAsia="Calibri" w:cs="Calibri"/>
        <w:b w:val="0"/>
        <w:i w:val="0"/>
        <w:strike w:val="0"/>
        <w:dstrike w:val="0"/>
        <w:color w:val="000000"/>
        <w:sz w:val="34"/>
        <w:szCs w:val="34"/>
        <w:u w:val="none" w:color="000000"/>
        <w:shd w:val="clear" w:color="auto" w:fill="auto"/>
        <w:vertAlign w:val="baseline"/>
      </w:rPr>
    </w:lvl>
    <w:lvl w:ilvl="8" w:tentative="0">
      <w:start w:val="1"/>
      <w:numFmt w:val="bullet"/>
      <w:lvlText w:val="▪"/>
      <w:lvlJc w:val="left"/>
      <w:pPr>
        <w:ind w:left="6483"/>
      </w:pPr>
      <w:rPr>
        <w:rFonts w:ascii="Calibri" w:hAnsi="Calibri" w:eastAsia="Calibri" w:cs="Calibri"/>
        <w:b w:val="0"/>
        <w:i w:val="0"/>
        <w:strike w:val="0"/>
        <w:dstrike w:val="0"/>
        <w:color w:val="000000"/>
        <w:sz w:val="34"/>
        <w:szCs w:val="34"/>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A4"/>
    <w:rsid w:val="00047B3D"/>
    <w:rsid w:val="00065D2F"/>
    <w:rsid w:val="001A6FA7"/>
    <w:rsid w:val="005013A4"/>
    <w:rsid w:val="005515FA"/>
    <w:rsid w:val="006C5159"/>
    <w:rsid w:val="007F3CE1"/>
    <w:rsid w:val="00A44657"/>
    <w:rsid w:val="00CF0054"/>
    <w:rsid w:val="00DB0ED0"/>
    <w:rsid w:val="00DB445F"/>
    <w:rsid w:val="234F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7"/>
    <w:semiHidden/>
    <w:unhideWhenUsed/>
    <w:uiPriority w:val="99"/>
    <w:pPr>
      <w:tabs>
        <w:tab w:val="center" w:pos="4680"/>
        <w:tab w:val="right" w:pos="9360"/>
      </w:tabs>
      <w:spacing w:after="0" w:line="240" w:lineRule="auto"/>
    </w:p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Header Char"/>
    <w:basedOn w:val="2"/>
    <w:link w:val="5"/>
    <w:semiHidden/>
    <w:uiPriority w:val="99"/>
  </w:style>
  <w:style w:type="table" w:customStyle="1" w:styleId="8">
    <w:name w:val="TableGrid"/>
    <w:uiPriority w:val="0"/>
    <w:pPr>
      <w:spacing w:after="0" w:line="240" w:lineRule="auto"/>
    </w:pPr>
    <w:rPr>
      <w:rFonts w:eastAsiaTheme="minorEastAsia"/>
    </w:rPr>
    <w:tblPr>
      <w:tblCellMar>
        <w:top w:w="0" w:type="dxa"/>
        <w:left w:w="0" w:type="dxa"/>
        <w:bottom w:w="0" w:type="dxa"/>
        <w:right w:w="0" w:type="dxa"/>
      </w:tblCellMar>
    </w:tblPr>
  </w:style>
  <w:style w:type="character" w:customStyle="1" w:styleId="9">
    <w:name w:val="Footer Char"/>
    <w:basedOn w:val="2"/>
    <w:link w:val="4"/>
    <w:uiPriority w:val="99"/>
  </w:style>
  <w:style w:type="paragraph" w:styleId="10">
    <w:name w:val="No Spacing"/>
    <w:qFormat/>
    <w:uiPriority w:val="1"/>
    <w:pPr>
      <w:spacing w:after="0" w:line="240" w:lineRule="auto"/>
    </w:pPr>
    <w:rPr>
      <w:rFonts w:ascii="Calibri" w:hAnsi="Calibri" w:eastAsia="Calibri" w:cs="Calibri"/>
      <w:color w:val="000000"/>
      <w:sz w:val="22"/>
      <w:szCs w:val="22"/>
      <w:lang w:val="en-US" w:eastAsia="en-US" w:bidi="ar-SA"/>
    </w:rPr>
  </w:style>
  <w:style w:type="character" w:customStyle="1" w:styleId="11">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329</Words>
  <Characters>1878</Characters>
  <Lines>15</Lines>
  <Paragraphs>4</Paragraphs>
  <TotalTime>1</TotalTime>
  <ScaleCrop>false</ScaleCrop>
  <LinksUpToDate>false</LinksUpToDate>
  <CharactersWithSpaces>2203</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2022-02-14T21:23:00Z</dcterms:created>
  <dc:creator>Linda Hassan</dc:creator>
  <cp:lastModifiedBy>Marketing</cp:lastModifiedBy>
  <dcterms:modified xsi:type="dcterms:W3CDTF">2022-02-17T21:01:31Z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5FD405BDEDE24B2D8DF78FE3DB509AFB</vt:lpwstr>
  </property>
</Properties>
</file>